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04F6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04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4F6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04F66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04F66">
        <w:rPr>
          <w:noProof/>
          <w:sz w:val="24"/>
          <w:szCs w:val="24"/>
        </w:rPr>
        <w:t>1326</w:t>
      </w:r>
      <w:r w:rsidR="00102979" w:rsidRPr="00104F6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04F6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04F6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04F6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04F6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04F66">
        <w:rPr>
          <w:sz w:val="24"/>
          <w:szCs w:val="24"/>
        </w:rPr>
        <w:t xml:space="preserve"> </w:t>
      </w:r>
      <w:r w:rsidR="001964A6" w:rsidRPr="00104F66">
        <w:rPr>
          <w:noProof/>
          <w:sz w:val="24"/>
          <w:szCs w:val="24"/>
        </w:rPr>
        <w:t>50:19:0050620:1175</w:t>
      </w:r>
      <w:r w:rsidRPr="00104F6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04F6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04F66">
        <w:rPr>
          <w:sz w:val="24"/>
          <w:szCs w:val="24"/>
        </w:rPr>
        <w:t xml:space="preserve"> – «</w:t>
      </w:r>
      <w:r w:rsidR="00597746" w:rsidRPr="00104F66">
        <w:rPr>
          <w:noProof/>
          <w:sz w:val="24"/>
          <w:szCs w:val="24"/>
        </w:rPr>
        <w:t>Земли населенных пунктов</w:t>
      </w:r>
      <w:r w:rsidRPr="00104F6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04F6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04F6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04F66">
        <w:rPr>
          <w:sz w:val="24"/>
          <w:szCs w:val="24"/>
        </w:rPr>
        <w:t xml:space="preserve"> – «</w:t>
      </w:r>
      <w:r w:rsidR="003E59E1" w:rsidRPr="00104F66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104F6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04F6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04F6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04F66">
        <w:rPr>
          <w:sz w:val="24"/>
          <w:szCs w:val="24"/>
        </w:rPr>
        <w:t xml:space="preserve">: </w:t>
      </w:r>
      <w:r w:rsidR="00D1191C" w:rsidRPr="00104F66">
        <w:rPr>
          <w:noProof/>
          <w:sz w:val="24"/>
          <w:szCs w:val="24"/>
        </w:rPr>
        <w:t>Российская Федерация, Московская область, Рузский городской округ, деревня Поречье</w:t>
      </w:r>
      <w:r w:rsidR="00472CAA" w:rsidRPr="00104F66">
        <w:rPr>
          <w:sz w:val="24"/>
          <w:szCs w:val="24"/>
        </w:rPr>
        <w:t xml:space="preserve"> </w:t>
      </w:r>
      <w:r w:rsidRPr="00104F66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04F66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04F6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04F66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частично расположен в зоне сильного подтопления в отношении территорий Рузского г.о. Московской области, прилегающих к зоне затопления р. Москва при глубине залегания грунтовых вод менее 0.3 м., частично расположен в зоне умеренного подтопления в отношении территорий Рузского г.о. Московской области, прилегающих к зоне затопления р. Москва при глубине залегания грунтовых вод от 0,3 - 0,7 до 1,2 - 2 м от поверхности, полностью расположен в водоохранной зоне реки Москва, расположен в зоне с особыми условиями использования территории в соответствии с распорядительными документами (**), полностью расположен: Кубинка приаэродромная территория аэродрома. Установить ограничение на земельный участок, указанный в п.1 настоящего Постановления, предусмотренное ст. 56 Земельного Кодекса РФ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lastRenderedPageBreak/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 xml:space="preserve"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</w:t>
      </w:r>
      <w:r w:rsidRPr="00594407">
        <w:lastRenderedPageBreak/>
        <w:t>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25E158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04F6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04F6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04F6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04F6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F66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104F6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04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04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04F6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04F6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F6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104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04F6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104F6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04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04F6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1326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04F66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4F6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49B2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3440</Words>
  <Characters>19609</Characters>
  <Application>Microsoft Office Word</Application>
  <DocSecurity>0</DocSecurity>
  <Lines>163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2024-11-11T05:29:00Z</dcterms:created>
  <dcterms:modified xsi:type="dcterms:W3CDTF">2024-11-11T05:29:00Z</dcterms:modified>
</cp:coreProperties>
</file>